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2485" w:rsidRPr="008754EB" w:rsidRDefault="006F2485">
      <w:pPr>
        <w:widowControl w:val="0"/>
        <w:spacing w:before="77" w:line="240" w:lineRule="auto"/>
        <w:ind w:right="428"/>
        <w:jc w:val="right"/>
        <w:rPr>
          <w:rFonts w:ascii="Times New Roman" w:eastAsia="Cambria" w:hAnsi="Times New Roman" w:cs="Times New Roman"/>
        </w:rPr>
      </w:pPr>
    </w:p>
    <w:tbl>
      <w:tblPr>
        <w:tblStyle w:val="a5"/>
        <w:tblW w:w="9916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813"/>
      </w:tblGrid>
      <w:tr w:rsidR="006F2485" w:rsidRPr="008754EB" w:rsidTr="008754EB">
        <w:trPr>
          <w:jc w:val="right"/>
        </w:trPr>
        <w:tc>
          <w:tcPr>
            <w:tcW w:w="5103" w:type="dxa"/>
          </w:tcPr>
          <w:p w:rsidR="006F2485" w:rsidRPr="008754EB" w:rsidRDefault="006F2485">
            <w:pPr>
              <w:widowControl w:val="0"/>
              <w:spacing w:line="240" w:lineRule="auto"/>
              <w:ind w:right="428"/>
              <w:jc w:val="both"/>
              <w:rPr>
                <w:rFonts w:ascii="Times New Roman" w:hAnsi="Times New Roman" w:cs="Times New Roman"/>
              </w:rPr>
            </w:pPr>
          </w:p>
          <w:p w:rsidR="006F2485" w:rsidRPr="008754EB" w:rsidRDefault="006F2485">
            <w:pPr>
              <w:widowControl w:val="0"/>
              <w:spacing w:line="240" w:lineRule="auto"/>
              <w:ind w:right="428"/>
              <w:jc w:val="both"/>
              <w:rPr>
                <w:rFonts w:ascii="Times New Roman" w:hAnsi="Times New Roman" w:cs="Times New Roman"/>
              </w:rPr>
            </w:pPr>
          </w:p>
          <w:p w:rsidR="006F2485" w:rsidRPr="008754EB" w:rsidRDefault="006F2485">
            <w:pPr>
              <w:widowControl w:val="0"/>
              <w:spacing w:line="240" w:lineRule="auto"/>
              <w:ind w:right="4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F2485" w:rsidRPr="008754EB" w:rsidRDefault="008754EB">
            <w:pPr>
              <w:widowControl w:val="0"/>
              <w:spacing w:line="240" w:lineRule="auto"/>
              <w:ind w:right="42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Додаток </w:t>
            </w:r>
          </w:p>
          <w:p w:rsidR="006F2485" w:rsidRPr="008754EB" w:rsidRDefault="008754EB">
            <w:pPr>
              <w:spacing w:line="240" w:lineRule="auto"/>
              <w:ind w:right="428"/>
              <w:jc w:val="right"/>
              <w:rPr>
                <w:rFonts w:ascii="Times New Roman" w:hAnsi="Times New Roman" w:cs="Times New Roman"/>
              </w:rPr>
            </w:pPr>
            <w:r w:rsidRPr="008754EB">
              <w:rPr>
                <w:rFonts w:ascii="Times New Roman" w:hAnsi="Times New Roman" w:cs="Times New Roman"/>
              </w:rPr>
              <w:t xml:space="preserve">до рішення виконавчого комітету </w:t>
            </w:r>
          </w:p>
          <w:p w:rsidR="006F2485" w:rsidRPr="008754EB" w:rsidRDefault="008754EB">
            <w:pPr>
              <w:spacing w:line="240" w:lineRule="auto"/>
              <w:ind w:right="428"/>
              <w:jc w:val="right"/>
              <w:rPr>
                <w:rFonts w:ascii="Times New Roman" w:hAnsi="Times New Roman" w:cs="Times New Roman"/>
              </w:rPr>
            </w:pPr>
            <w:r w:rsidRPr="008754EB">
              <w:rPr>
                <w:rFonts w:ascii="Times New Roman" w:hAnsi="Times New Roman" w:cs="Times New Roman"/>
              </w:rPr>
              <w:t>_______________ міської ради</w:t>
            </w:r>
          </w:p>
          <w:p w:rsidR="006F2485" w:rsidRPr="008754EB" w:rsidRDefault="008754EB">
            <w:pPr>
              <w:spacing w:line="240" w:lineRule="auto"/>
              <w:ind w:right="428"/>
              <w:jc w:val="right"/>
              <w:rPr>
                <w:rFonts w:ascii="Times New Roman" w:hAnsi="Times New Roman" w:cs="Times New Roman"/>
              </w:rPr>
            </w:pPr>
            <w:r w:rsidRPr="008754EB">
              <w:rPr>
                <w:rFonts w:ascii="Times New Roman" w:hAnsi="Times New Roman" w:cs="Times New Roman"/>
              </w:rPr>
              <w:t>від ___________  №________</w:t>
            </w:r>
          </w:p>
        </w:tc>
      </w:tr>
    </w:tbl>
    <w:p w:rsidR="006F2485" w:rsidRPr="008754EB" w:rsidRDefault="006F2485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</w:p>
    <w:p w:rsidR="006F2485" w:rsidRPr="008754EB" w:rsidRDefault="008754EB">
      <w:pPr>
        <w:widowControl w:val="0"/>
        <w:spacing w:before="92" w:line="240" w:lineRule="auto"/>
        <w:ind w:right="428"/>
        <w:jc w:val="center"/>
        <w:rPr>
          <w:rFonts w:ascii="Times New Roman" w:eastAsia="Cambria" w:hAnsi="Times New Roman" w:cs="Times New Roman"/>
          <w:b/>
        </w:rPr>
      </w:pPr>
      <w:r w:rsidRPr="008754EB">
        <w:rPr>
          <w:rFonts w:ascii="Times New Roman" w:eastAsia="Cambria" w:hAnsi="Times New Roman" w:cs="Times New Roman"/>
          <w:b/>
        </w:rPr>
        <w:t>ПОЛОЖЕННЯ</w:t>
      </w:r>
    </w:p>
    <w:p w:rsidR="006F2485" w:rsidRPr="008754EB" w:rsidRDefault="008754EB">
      <w:pPr>
        <w:widowControl w:val="0"/>
        <w:spacing w:line="240" w:lineRule="auto"/>
        <w:ind w:right="428"/>
        <w:jc w:val="center"/>
        <w:rPr>
          <w:rFonts w:ascii="Times New Roman" w:eastAsia="Cambria" w:hAnsi="Times New Roman" w:cs="Times New Roman"/>
          <w:b/>
        </w:rPr>
      </w:pPr>
      <w:r w:rsidRPr="008754EB">
        <w:rPr>
          <w:rFonts w:ascii="Times New Roman" w:eastAsia="Cambria" w:hAnsi="Times New Roman" w:cs="Times New Roman"/>
          <w:b/>
        </w:rPr>
        <w:t>про комісію з обстеження будівель і споруд на території ________________ міської територіальної громади, що були  зруйновані або пошкоджені внаслідок надзвичайної ситуації воєнного характеру, спричиненої збройною агресією російської федерації проти України</w:t>
      </w:r>
    </w:p>
    <w:p w:rsidR="006F2485" w:rsidRPr="008754EB" w:rsidRDefault="006F2485">
      <w:pPr>
        <w:widowControl w:val="0"/>
        <w:spacing w:before="6" w:line="240" w:lineRule="auto"/>
        <w:ind w:right="428"/>
        <w:jc w:val="center"/>
        <w:rPr>
          <w:rFonts w:ascii="Times New Roman" w:eastAsia="Cambria" w:hAnsi="Times New Roman" w:cs="Times New Roman"/>
          <w:color w:val="242020"/>
        </w:rPr>
      </w:pPr>
    </w:p>
    <w:p w:rsidR="006F2485" w:rsidRPr="008754EB" w:rsidRDefault="008754EB">
      <w:pPr>
        <w:widowControl w:val="0"/>
        <w:spacing w:line="240" w:lineRule="auto"/>
        <w:ind w:right="428"/>
        <w:jc w:val="center"/>
        <w:rPr>
          <w:rFonts w:ascii="Times New Roman" w:eastAsia="Cambria" w:hAnsi="Times New Roman" w:cs="Times New Roman"/>
          <w:b/>
        </w:rPr>
      </w:pPr>
      <w:r w:rsidRPr="008754EB">
        <w:rPr>
          <w:rFonts w:ascii="Times New Roman" w:eastAsia="Cambria" w:hAnsi="Times New Roman" w:cs="Times New Roman"/>
          <w:b/>
        </w:rPr>
        <w:t>І. Загальні положення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Комісія у своїй діяльності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інши</w:t>
      </w:r>
      <w:r w:rsidRPr="008754EB">
        <w:rPr>
          <w:rFonts w:ascii="Times New Roman" w:eastAsia="Cambria" w:hAnsi="Times New Roman" w:cs="Times New Roman"/>
        </w:rPr>
        <w:t>ми актами законодавства України, рішеннями виконавчого комітету міської ради та цим Положенням.</w:t>
      </w:r>
    </w:p>
    <w:p w:rsidR="006F2485" w:rsidRPr="008754EB" w:rsidRDefault="006F2485">
      <w:pPr>
        <w:widowControl w:val="0"/>
        <w:spacing w:before="2" w:line="240" w:lineRule="auto"/>
        <w:ind w:right="428"/>
        <w:rPr>
          <w:rFonts w:ascii="Times New Roman" w:eastAsia="Cambria" w:hAnsi="Times New Roman" w:cs="Times New Roman"/>
        </w:rPr>
      </w:pPr>
    </w:p>
    <w:p w:rsidR="006F2485" w:rsidRPr="008754EB" w:rsidRDefault="008754EB">
      <w:pPr>
        <w:widowControl w:val="0"/>
        <w:spacing w:line="240" w:lineRule="auto"/>
        <w:ind w:right="428"/>
        <w:jc w:val="center"/>
        <w:rPr>
          <w:rFonts w:ascii="Times New Roman" w:eastAsia="Cambria" w:hAnsi="Times New Roman" w:cs="Times New Roman"/>
          <w:b/>
        </w:rPr>
      </w:pPr>
      <w:r w:rsidRPr="008754EB">
        <w:rPr>
          <w:rFonts w:ascii="Times New Roman" w:eastAsia="Cambria" w:hAnsi="Times New Roman" w:cs="Times New Roman"/>
          <w:b/>
        </w:rPr>
        <w:t>ІІ. Склад Комісії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Положення про Комісію та її персональний склад затверджується рішенням виконавчого комітету ____________ міської ради.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 xml:space="preserve">Комісія складається з </w:t>
      </w:r>
      <w:r w:rsidRPr="008754EB">
        <w:rPr>
          <w:rFonts w:ascii="Times New Roman" w:eastAsia="Cambria" w:hAnsi="Times New Roman" w:cs="Times New Roman"/>
        </w:rPr>
        <w:t>голови, заступника голови, секретаря та членів Комісії.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Голова Комісії безпосередньо здійснює керівництво діяльністю Комісії та забезпечує виконання покладених на неї завдань.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У разі відсутності голови Комісії його обов’язки виконує заступник голови Комісі</w:t>
      </w:r>
      <w:r w:rsidRPr="008754EB">
        <w:rPr>
          <w:rFonts w:ascii="Times New Roman" w:eastAsia="Cambria" w:hAnsi="Times New Roman" w:cs="Times New Roman"/>
        </w:rPr>
        <w:t>ї.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Організаційне забезпечення діяльності Комісії здійснює її секретар.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 xml:space="preserve">Секретар Комісії готує необхідні матеріали для роботи Комісії, забезпечує оповіщення членів Комісії про дату, час та місце проведення засідань Комісії, порядок денний, веде та оформлює </w:t>
      </w:r>
      <w:r w:rsidRPr="008754EB">
        <w:rPr>
          <w:rFonts w:ascii="Times New Roman" w:eastAsia="Cambria" w:hAnsi="Times New Roman" w:cs="Times New Roman"/>
        </w:rPr>
        <w:t>протокол засідання Комісії, веде списки постраждалих осіб та забезпечує збереження протоколів комісії для подальшого їх використання.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У разі відсутності секретаря Комісії його обов’язки тимчасово виконує за дорученням голови комісії інший член Комісії.</w:t>
      </w:r>
    </w:p>
    <w:p w:rsidR="006F2485" w:rsidRPr="008754EB" w:rsidRDefault="006F2485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</w:p>
    <w:p w:rsidR="006F2485" w:rsidRPr="008754EB" w:rsidRDefault="008754EB">
      <w:pPr>
        <w:widowControl w:val="0"/>
        <w:spacing w:line="240" w:lineRule="auto"/>
        <w:ind w:right="428"/>
        <w:jc w:val="center"/>
        <w:rPr>
          <w:rFonts w:ascii="Times New Roman" w:eastAsia="Cambria" w:hAnsi="Times New Roman" w:cs="Times New Roman"/>
          <w:b/>
        </w:rPr>
      </w:pPr>
      <w:r w:rsidRPr="008754EB">
        <w:rPr>
          <w:rFonts w:ascii="Times New Roman" w:eastAsia="Cambria" w:hAnsi="Times New Roman" w:cs="Times New Roman"/>
          <w:b/>
        </w:rPr>
        <w:t>ІІ</w:t>
      </w:r>
      <w:r w:rsidRPr="008754EB">
        <w:rPr>
          <w:rFonts w:ascii="Times New Roman" w:eastAsia="Cambria" w:hAnsi="Times New Roman" w:cs="Times New Roman"/>
          <w:b/>
        </w:rPr>
        <w:t>І. Організація роботи Комісії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Основною організаційною формою роботи Комісії є засідання, які проводяться у разі потреби.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Засідання Комісії вважається правосильний, якщо на ньому присутні більш як половина її складу.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Рішення Комісії вважається прийнятим, як</w:t>
      </w:r>
      <w:r w:rsidRPr="008754EB">
        <w:rPr>
          <w:rFonts w:ascii="Times New Roman" w:eastAsia="Cambria" w:hAnsi="Times New Roman" w:cs="Times New Roman"/>
        </w:rPr>
        <w:t>що за нього проголосувала переважна більшість присутніх членів комісії.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  <w:highlight w:val="cyan"/>
        </w:rPr>
      </w:pPr>
      <w:r w:rsidRPr="008754EB">
        <w:rPr>
          <w:rFonts w:ascii="Times New Roman" w:eastAsia="Cambria" w:hAnsi="Times New Roman" w:cs="Times New Roman"/>
        </w:rPr>
        <w:t xml:space="preserve">Рішення Комісії ухвалюється у формі акту, форма якого затверджена рішенням виконавчого комітету ____________.  </w:t>
      </w:r>
      <w:r w:rsidRPr="008754EB">
        <w:rPr>
          <w:rFonts w:ascii="Times New Roman" w:eastAsia="Cambria" w:hAnsi="Times New Roman" w:cs="Times New Roman"/>
        </w:rPr>
        <w:t xml:space="preserve">Рішення Комісії оприлюднюються на офіційному сайті міської ради. 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Акт обс</w:t>
      </w:r>
      <w:r w:rsidRPr="008754EB">
        <w:rPr>
          <w:rFonts w:ascii="Times New Roman" w:eastAsia="Cambria" w:hAnsi="Times New Roman" w:cs="Times New Roman"/>
        </w:rPr>
        <w:t>теження пошкодженого нерухомого майна з переліком пошкоджених об’єктів, що підлягають технічному обстеженню подається на затвердження до виконавчого комітету ____________міської ради.</w:t>
      </w:r>
    </w:p>
    <w:p w:rsidR="008754EB" w:rsidRDefault="008754EB">
      <w:pPr>
        <w:widowControl w:val="0"/>
        <w:spacing w:line="240" w:lineRule="auto"/>
        <w:ind w:right="428"/>
        <w:jc w:val="center"/>
        <w:rPr>
          <w:rFonts w:ascii="Times New Roman" w:eastAsia="Cambria" w:hAnsi="Times New Roman" w:cs="Times New Roman"/>
          <w:b/>
        </w:rPr>
      </w:pPr>
    </w:p>
    <w:p w:rsidR="006F2485" w:rsidRPr="008754EB" w:rsidRDefault="008754EB">
      <w:pPr>
        <w:widowControl w:val="0"/>
        <w:spacing w:line="240" w:lineRule="auto"/>
        <w:ind w:right="428"/>
        <w:jc w:val="center"/>
        <w:rPr>
          <w:rFonts w:ascii="Times New Roman" w:eastAsia="Cambria" w:hAnsi="Times New Roman" w:cs="Times New Roman"/>
          <w:b/>
        </w:rPr>
      </w:pPr>
      <w:r w:rsidRPr="008754EB">
        <w:rPr>
          <w:rFonts w:ascii="Times New Roman" w:eastAsia="Cambria" w:hAnsi="Times New Roman" w:cs="Times New Roman"/>
          <w:b/>
        </w:rPr>
        <w:t>IV. Завдання та повноваження Комісії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Основним завданням Комісії є проведення обстеження об’єктів нерухомого майна, зруйнованого внаслідок надзвичайної ситуації воєнного характеру, спричиненої збройною агресією російської федерації.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До повноважень Комісії належить:</w:t>
      </w:r>
    </w:p>
    <w:p w:rsidR="006F2485" w:rsidRPr="008754EB" w:rsidRDefault="008754EB" w:rsidP="008754EB">
      <w:pPr>
        <w:widowControl w:val="0"/>
        <w:numPr>
          <w:ilvl w:val="0"/>
          <w:numId w:val="3"/>
        </w:numPr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розгляд заяв та доданих до н</w:t>
      </w:r>
      <w:r w:rsidRPr="008754EB">
        <w:rPr>
          <w:rFonts w:ascii="Times New Roman" w:eastAsia="Cambria" w:hAnsi="Times New Roman" w:cs="Times New Roman"/>
        </w:rPr>
        <w:t>их документів;</w:t>
      </w:r>
    </w:p>
    <w:p w:rsidR="006F2485" w:rsidRPr="008754EB" w:rsidRDefault="008754EB" w:rsidP="008754EB">
      <w:pPr>
        <w:widowControl w:val="0"/>
        <w:numPr>
          <w:ilvl w:val="0"/>
          <w:numId w:val="3"/>
        </w:numPr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проведення обстеження пошкодженого або зруйнованого нерухомого майна внаслідок надзвичайної ситуації;</w:t>
      </w:r>
    </w:p>
    <w:p w:rsidR="006F2485" w:rsidRPr="008754EB" w:rsidRDefault="008754EB" w:rsidP="008754EB">
      <w:pPr>
        <w:widowControl w:val="0"/>
        <w:numPr>
          <w:ilvl w:val="0"/>
          <w:numId w:val="3"/>
        </w:numPr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складання акту обстеження нерухомого майна, зруйнованого (пошкодженого) внаслідок надзвичайної ситуації воєнного характеру, спричиненої збр</w:t>
      </w:r>
      <w:r w:rsidRPr="008754EB">
        <w:rPr>
          <w:rFonts w:ascii="Times New Roman" w:eastAsia="Cambria" w:hAnsi="Times New Roman" w:cs="Times New Roman"/>
        </w:rPr>
        <w:t>ойною агресією російської федерації;</w:t>
      </w:r>
    </w:p>
    <w:p w:rsidR="006F2485" w:rsidRPr="008754EB" w:rsidRDefault="008754EB" w:rsidP="008754EB">
      <w:pPr>
        <w:widowControl w:val="0"/>
        <w:numPr>
          <w:ilvl w:val="0"/>
          <w:numId w:val="3"/>
        </w:numPr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розгляд інших питань, що стосуються рішень, які можуть бути прийняті відповідно до цього Положення.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 xml:space="preserve">Для проведення обстеження нерухомого майна, зруйнованого внаслідок надзвичайної ситуації воєнного характеру, спричиненої збройною агресією російської федерації, та для визнання особи постраждалою внаслідок надзвичайної ситуації заявники подають до Комісії </w:t>
      </w:r>
      <w:r w:rsidRPr="008754EB">
        <w:rPr>
          <w:rFonts w:ascii="Times New Roman" w:eastAsia="Cambria" w:hAnsi="Times New Roman" w:cs="Times New Roman"/>
        </w:rPr>
        <w:t>такі документи на кожен окремий об’єкт нерухомого майна:</w:t>
      </w:r>
    </w:p>
    <w:p w:rsidR="006F2485" w:rsidRPr="008754EB" w:rsidRDefault="008754EB" w:rsidP="008754EB">
      <w:pPr>
        <w:widowControl w:val="0"/>
        <w:numPr>
          <w:ilvl w:val="0"/>
          <w:numId w:val="4"/>
        </w:numPr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lastRenderedPageBreak/>
        <w:t>заяву про проведення обстеження нерухомого майна, зруйнованого  чи пошкодженого внаслідок надзвичайної ситуації воєнного характеру, спричиненої збройною агресією російської федерації;</w:t>
      </w:r>
    </w:p>
    <w:p w:rsidR="006F2485" w:rsidRPr="008754EB" w:rsidRDefault="008754EB" w:rsidP="008754EB">
      <w:pPr>
        <w:widowControl w:val="0"/>
        <w:numPr>
          <w:ilvl w:val="0"/>
          <w:numId w:val="4"/>
        </w:numPr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копію документа</w:t>
      </w:r>
      <w:r w:rsidRPr="008754EB">
        <w:rPr>
          <w:rFonts w:ascii="Times New Roman" w:eastAsia="Cambria" w:hAnsi="Times New Roman" w:cs="Times New Roman"/>
        </w:rPr>
        <w:t>, що посвідчує особу та підтверджує громадянство України, або документа, що посвідчує особу та підтверджує її спеціальний статус;</w:t>
      </w:r>
    </w:p>
    <w:p w:rsidR="006F2485" w:rsidRPr="008754EB" w:rsidRDefault="008754EB" w:rsidP="008754EB">
      <w:pPr>
        <w:widowControl w:val="0"/>
        <w:numPr>
          <w:ilvl w:val="0"/>
          <w:numId w:val="4"/>
        </w:numPr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копію одного з передбачених Податковим кодексом України документа з даними про реєстраційний номер облікової картки платника п</w:t>
      </w:r>
      <w:r w:rsidRPr="008754EB">
        <w:rPr>
          <w:rFonts w:ascii="Times New Roman" w:eastAsia="Cambria" w:hAnsi="Times New Roman" w:cs="Times New Roman"/>
        </w:rPr>
        <w:t>одатків (крім випадків, коли постраждалим є іноземець, особа без громадянства або особа,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</w:t>
      </w:r>
      <w:r w:rsidRPr="008754EB">
        <w:rPr>
          <w:rFonts w:ascii="Times New Roman" w:eastAsia="Cambria" w:hAnsi="Times New Roman" w:cs="Times New Roman"/>
        </w:rPr>
        <w:t>повідному контролюючому органу і має відмітку в паспорті громадянина України) (крім іноземців та осіб без громадянства);</w:t>
      </w:r>
    </w:p>
    <w:p w:rsidR="006F2485" w:rsidRPr="008754EB" w:rsidRDefault="008754EB" w:rsidP="008754EB">
      <w:pPr>
        <w:widowControl w:val="0"/>
        <w:numPr>
          <w:ilvl w:val="0"/>
          <w:numId w:val="4"/>
        </w:numPr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  <w:highlight w:val="white"/>
        </w:rPr>
        <w:t>інформацію (інформаційну довідку або копію витягу) з Державного реєстру речових прав на нерухоме майно або копії документів, що підтвер</w:t>
      </w:r>
      <w:r w:rsidRPr="008754EB">
        <w:rPr>
          <w:rFonts w:ascii="Times New Roman" w:eastAsia="Cambria" w:hAnsi="Times New Roman" w:cs="Times New Roman"/>
          <w:highlight w:val="white"/>
        </w:rPr>
        <w:t xml:space="preserve">джують наявність права власності у заявника на </w:t>
      </w:r>
      <w:r w:rsidRPr="008754EB">
        <w:rPr>
          <w:rFonts w:ascii="Times New Roman" w:eastAsia="Cambria" w:hAnsi="Times New Roman" w:cs="Times New Roman"/>
        </w:rPr>
        <w:t>нерухомого майна</w:t>
      </w:r>
      <w:r w:rsidRPr="008754EB">
        <w:rPr>
          <w:rFonts w:ascii="Times New Roman" w:eastAsia="Cambria" w:hAnsi="Times New Roman" w:cs="Times New Roman"/>
          <w:highlight w:val="white"/>
        </w:rPr>
        <w:t xml:space="preserve"> на момент подання заяви про проведення обстеження</w:t>
      </w:r>
      <w:r w:rsidRPr="008754EB">
        <w:rPr>
          <w:rFonts w:ascii="Times New Roman" w:eastAsia="Cambria" w:hAnsi="Times New Roman" w:cs="Times New Roman"/>
        </w:rPr>
        <w:t xml:space="preserve"> чи інший документ, що підтверджує право заявника на пошкоджене (зруйноване) нерухоме майно;</w:t>
      </w: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У разі коли зруйноване чи пошкоджене нерухомого ма</w:t>
      </w:r>
      <w:r w:rsidRPr="008754EB">
        <w:rPr>
          <w:rFonts w:ascii="Times New Roman" w:eastAsia="Cambria" w:hAnsi="Times New Roman" w:cs="Times New Roman"/>
        </w:rPr>
        <w:t>йна перебуває у спільній частковій/сумісній власності кількох постраждалих, заява для проведення обстеження може подаватись одним з співвласників або його представником, який діє на підставі довіреності (далі – представник).</w:t>
      </w:r>
    </w:p>
    <w:p w:rsidR="006F2485" w:rsidRPr="008754EB" w:rsidRDefault="006F2485">
      <w:pPr>
        <w:widowControl w:val="0"/>
        <w:spacing w:line="240" w:lineRule="auto"/>
        <w:ind w:right="428" w:firstLine="720"/>
        <w:jc w:val="both"/>
        <w:rPr>
          <w:rFonts w:ascii="Times New Roman" w:eastAsia="Cambria" w:hAnsi="Times New Roman" w:cs="Times New Roman"/>
        </w:rPr>
      </w:pP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Комісія складає акт обстеження</w:t>
      </w:r>
      <w:r w:rsidRPr="008754EB">
        <w:rPr>
          <w:rFonts w:ascii="Times New Roman" w:eastAsia="Cambria" w:hAnsi="Times New Roman" w:cs="Times New Roman"/>
        </w:rPr>
        <w:t xml:space="preserve"> нерухомого майна зруйнованого (пошкодженого) внаслідок надзвичайної ситуації воєнного характеру, спричиненої збройною агресією російської федерації (далі – акт обстеження), за формою, яка затверджена рішенням виконавчого комітету ____________ міської ради</w:t>
      </w:r>
      <w:r w:rsidRPr="008754EB">
        <w:rPr>
          <w:rFonts w:ascii="Times New Roman" w:eastAsia="Cambria" w:hAnsi="Times New Roman" w:cs="Times New Roman"/>
        </w:rPr>
        <w:t xml:space="preserve">,  у двох примірниках, один з яких надається заявнику  або його представнику. В акті обстеження зазначається загальна   характеристика пошкоджень, з орієнтовним обсягом пошкоджень. Та ухвалюється висновок про технічний стан нерухомого майна на момент його </w:t>
      </w:r>
      <w:r w:rsidRPr="008754EB">
        <w:rPr>
          <w:rFonts w:ascii="Times New Roman" w:eastAsia="Cambria" w:hAnsi="Times New Roman" w:cs="Times New Roman"/>
        </w:rPr>
        <w:t>обстеження: зруйноване чи пошкоджене, (в разі пошкодження об’єкта нерухомого майна, потребує поточного ремонту або потребує технічного обстеження).</w:t>
      </w:r>
    </w:p>
    <w:p w:rsidR="006F2485" w:rsidRPr="008754EB" w:rsidRDefault="006F2485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 xml:space="preserve">За результатом обстеження об’єктів соціальної сфери складається акт обстеження з урахуванням вимог Порядку </w:t>
      </w:r>
      <w:r w:rsidRPr="008754EB">
        <w:rPr>
          <w:rFonts w:ascii="Times New Roman" w:eastAsia="Cambria" w:hAnsi="Times New Roman" w:cs="Times New Roman"/>
        </w:rPr>
        <w:t>виконання невідкладних робіт щодо ліквідації наслідків збройної агресії Російської Федерації, пов’язаних із пошкодженням будівель та споруд затвердженого постановою Кабінету Міністрів України від 19 квітня 2022 р. № 473 (зі змінами).</w:t>
      </w:r>
    </w:p>
    <w:p w:rsidR="006F2485" w:rsidRPr="008754EB" w:rsidRDefault="006F2485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>Під час проведення об</w:t>
      </w:r>
      <w:r w:rsidRPr="008754EB">
        <w:rPr>
          <w:rFonts w:ascii="Times New Roman" w:eastAsia="Cambria" w:hAnsi="Times New Roman" w:cs="Times New Roman"/>
        </w:rPr>
        <w:t>стеження нерухомого майна та складання акту обстеження можуть враховуватись інші документи, в яких зафіксовано факт руйнування майна. До акту обстеження можуть долучатись письмові пояснення свідків, а також відео та/або фото матеріали. Пояснення свідків ад</w:t>
      </w:r>
      <w:r w:rsidRPr="008754EB">
        <w:rPr>
          <w:rFonts w:ascii="Times New Roman" w:eastAsia="Cambria" w:hAnsi="Times New Roman" w:cs="Times New Roman"/>
        </w:rPr>
        <w:t>ресуються на ім’я голови комісії та обов’язково повинні містити всі необхідні дані про особу (ПІБ, адреса реєстрації та проживання, контактний телефон/електронну пошту, паспортні дані тощо), а також джерела поінформованості особи (очевидець, інформація від</w:t>
      </w:r>
      <w:r w:rsidRPr="008754EB">
        <w:rPr>
          <w:rFonts w:ascii="Times New Roman" w:eastAsia="Cambria" w:hAnsi="Times New Roman" w:cs="Times New Roman"/>
        </w:rPr>
        <w:t xml:space="preserve"> третіх осіб тощо). Всі документи та матеріали, які долучаються до акту обстеження, зазначаються в акті обстеження.</w:t>
      </w:r>
    </w:p>
    <w:p w:rsidR="006F2485" w:rsidRPr="008754EB" w:rsidRDefault="006F2485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8754EB">
        <w:rPr>
          <w:rFonts w:ascii="Times New Roman" w:eastAsia="Cambria" w:hAnsi="Times New Roman" w:cs="Times New Roman"/>
          <w:highlight w:val="white"/>
        </w:rPr>
        <w:t xml:space="preserve">У разі подання заявником або його представником неповного пакета документів, необхідних для проведення обстеження </w:t>
      </w:r>
      <w:r w:rsidRPr="008754EB">
        <w:rPr>
          <w:rFonts w:ascii="Times New Roman" w:eastAsia="Cambria" w:hAnsi="Times New Roman" w:cs="Times New Roman"/>
        </w:rPr>
        <w:t>нерухомого майна</w:t>
      </w:r>
      <w:r w:rsidRPr="008754EB">
        <w:rPr>
          <w:rFonts w:ascii="Times New Roman" w:eastAsia="Cambria" w:hAnsi="Times New Roman" w:cs="Times New Roman"/>
          <w:highlight w:val="white"/>
        </w:rPr>
        <w:t>, визначених у цьому Порядку, або наявності в поданих документах технічних помилок чи інших недоліків комісія надає можливість заявнику або його представнику протягом десяти календарних днів з дня повідомлення про виявлення такого факту надати відсутні док</w:t>
      </w:r>
      <w:r w:rsidRPr="008754EB">
        <w:rPr>
          <w:rFonts w:ascii="Times New Roman" w:eastAsia="Cambria" w:hAnsi="Times New Roman" w:cs="Times New Roman"/>
          <w:highlight w:val="white"/>
        </w:rPr>
        <w:t>ументи або усунути відповідні недоліки. У разі не усунення недоліків в установлений строк всі документи повертаються за рішенням комісії заявнику або його представнику.</w:t>
      </w:r>
    </w:p>
    <w:p w:rsidR="006F2485" w:rsidRPr="008754EB" w:rsidRDefault="006F2485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</w:p>
    <w:p w:rsidR="006F2485" w:rsidRPr="008754EB" w:rsidRDefault="008754EB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  <w:r w:rsidRPr="008754EB">
        <w:rPr>
          <w:rFonts w:ascii="Times New Roman" w:eastAsia="Cambria" w:hAnsi="Times New Roman" w:cs="Times New Roman"/>
        </w:rPr>
        <w:t xml:space="preserve">Питання компенсації не регулюється цим Положенням і не вирішується Комісією. Складені </w:t>
      </w:r>
      <w:r w:rsidRPr="008754EB">
        <w:rPr>
          <w:rFonts w:ascii="Times New Roman" w:eastAsia="Cambria" w:hAnsi="Times New Roman" w:cs="Times New Roman"/>
        </w:rPr>
        <w:t>комісією документи не встановлюють обов’язку, щодо виплати компенсації органами місцевого самоврядування.</w:t>
      </w:r>
    </w:p>
    <w:p w:rsidR="006F2485" w:rsidRPr="008754EB" w:rsidRDefault="006F2485">
      <w:pPr>
        <w:widowControl w:val="0"/>
        <w:spacing w:line="240" w:lineRule="auto"/>
        <w:ind w:right="428"/>
        <w:jc w:val="both"/>
        <w:rPr>
          <w:rFonts w:ascii="Times New Roman" w:eastAsia="Cambria" w:hAnsi="Times New Roman" w:cs="Times New Roman"/>
        </w:rPr>
      </w:pPr>
    </w:p>
    <w:p w:rsidR="008754EB" w:rsidRDefault="008754EB">
      <w:pPr>
        <w:widowControl w:val="0"/>
        <w:spacing w:line="240" w:lineRule="auto"/>
        <w:ind w:right="428"/>
        <w:rPr>
          <w:rFonts w:ascii="Times New Roman" w:eastAsia="Cambria" w:hAnsi="Times New Roman" w:cs="Times New Roman"/>
          <w:b/>
          <w:lang w:val="uk-UA"/>
        </w:rPr>
      </w:pPr>
    </w:p>
    <w:p w:rsidR="006F2485" w:rsidRPr="008754EB" w:rsidRDefault="008754EB">
      <w:pPr>
        <w:widowControl w:val="0"/>
        <w:spacing w:line="240" w:lineRule="auto"/>
        <w:ind w:right="428"/>
        <w:rPr>
          <w:rFonts w:ascii="Times New Roman" w:eastAsia="Cambria" w:hAnsi="Times New Roman" w:cs="Times New Roman"/>
          <w:b/>
          <w:lang w:val="uk-UA"/>
        </w:rPr>
      </w:pPr>
      <w:bookmarkStart w:id="0" w:name="_GoBack"/>
      <w:bookmarkEnd w:id="0"/>
      <w:r w:rsidRPr="008754EB">
        <w:rPr>
          <w:rFonts w:ascii="Times New Roman" w:eastAsia="Cambria" w:hAnsi="Times New Roman" w:cs="Times New Roman"/>
          <w:b/>
          <w:lang w:val="uk-UA"/>
        </w:rPr>
        <w:t>Міський голова</w:t>
      </w:r>
    </w:p>
    <w:p w:rsidR="006F2485" w:rsidRPr="008754EB" w:rsidRDefault="006F2485">
      <w:pPr>
        <w:ind w:right="428"/>
        <w:rPr>
          <w:rFonts w:ascii="Times New Roman" w:eastAsia="Cambria" w:hAnsi="Times New Roman" w:cs="Times New Roman"/>
        </w:rPr>
      </w:pPr>
    </w:p>
    <w:sectPr w:rsidR="006F2485" w:rsidRPr="008754EB" w:rsidSect="008754EB">
      <w:pgSz w:w="11906" w:h="16838"/>
      <w:pgMar w:top="450" w:right="12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EA4"/>
    <w:multiLevelType w:val="multilevel"/>
    <w:tmpl w:val="7EFE5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076E24"/>
    <w:multiLevelType w:val="multilevel"/>
    <w:tmpl w:val="6D305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133660"/>
    <w:multiLevelType w:val="multilevel"/>
    <w:tmpl w:val="80CC8B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EB67CB"/>
    <w:multiLevelType w:val="multilevel"/>
    <w:tmpl w:val="48B0E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85"/>
    <w:rsid w:val="006F2485"/>
    <w:rsid w:val="008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25AA"/>
  <w15:docId w15:val="{27E78D22-65DF-4D0D-8636-65E2A16C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2025-06-04T05:48:00Z</dcterms:created>
  <dcterms:modified xsi:type="dcterms:W3CDTF">2025-06-04T05:48:00Z</dcterms:modified>
</cp:coreProperties>
</file>