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before="77" w:line="240" w:lineRule="auto"/>
        <w:ind w:right="428.7401574803164"/>
        <w:jc w:val="right"/>
        <w:rPr>
          <w:rFonts w:ascii="Cambria" w:cs="Cambria" w:eastAsia="Cambria" w:hAnsi="Cambria"/>
        </w:rPr>
      </w:pPr>
      <w:r w:rsidDel="00000000" w:rsidR="00000000" w:rsidRPr="00000000">
        <w:rPr>
          <w:rtl w:val="0"/>
        </w:rPr>
      </w:r>
    </w:p>
    <w:tbl>
      <w:tblPr>
        <w:tblStyle w:val="Table1"/>
        <w:tblW w:w="991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3"/>
        <w:gridCol w:w="4813"/>
        <w:tblGridChange w:id="0">
          <w:tblGrid>
            <w:gridCol w:w="5103"/>
            <w:gridCol w:w="4813"/>
          </w:tblGrid>
        </w:tblGridChange>
      </w:tblGrid>
      <w:tr>
        <w:trPr>
          <w:cantSplit w:val="0"/>
          <w:tblHeader w:val="0"/>
        </w:trPr>
        <w:tc>
          <w:tcPr/>
          <w:p w:rsidR="00000000" w:rsidDel="00000000" w:rsidP="00000000" w:rsidRDefault="00000000" w:rsidRPr="00000000" w14:paraId="00000002">
            <w:pPr>
              <w:widowControl w:val="0"/>
              <w:spacing w:line="240" w:lineRule="auto"/>
              <w:ind w:right="428.7401574803164"/>
              <w:jc w:val="both"/>
              <w:rPr/>
            </w:pPr>
            <w:r w:rsidDel="00000000" w:rsidR="00000000" w:rsidRPr="00000000">
              <w:rPr>
                <w:rtl w:val="0"/>
              </w:rPr>
            </w:r>
          </w:p>
          <w:p w:rsidR="00000000" w:rsidDel="00000000" w:rsidP="00000000" w:rsidRDefault="00000000" w:rsidRPr="00000000" w14:paraId="00000003">
            <w:pPr>
              <w:widowControl w:val="0"/>
              <w:spacing w:line="240" w:lineRule="auto"/>
              <w:ind w:right="428.7401574803164"/>
              <w:jc w:val="both"/>
              <w:rPr/>
            </w:pPr>
            <w:r w:rsidDel="00000000" w:rsidR="00000000" w:rsidRPr="00000000">
              <w:rPr>
                <w:rtl w:val="0"/>
              </w:rPr>
            </w:r>
          </w:p>
          <w:p w:rsidR="00000000" w:rsidDel="00000000" w:rsidP="00000000" w:rsidRDefault="00000000" w:rsidRPr="00000000" w14:paraId="00000004">
            <w:pPr>
              <w:widowControl w:val="0"/>
              <w:spacing w:line="240" w:lineRule="auto"/>
              <w:ind w:right="428.7401574803164"/>
              <w:jc w:val="both"/>
              <w:rPr/>
            </w:pPr>
            <w:r w:rsidDel="00000000" w:rsidR="00000000" w:rsidRPr="00000000">
              <w:rPr>
                <w:rtl w:val="0"/>
              </w:rPr>
            </w:r>
          </w:p>
        </w:tc>
        <w:tc>
          <w:tcPr/>
          <w:p w:rsidR="00000000" w:rsidDel="00000000" w:rsidP="00000000" w:rsidRDefault="00000000" w:rsidRPr="00000000" w14:paraId="00000005">
            <w:pPr>
              <w:widowControl w:val="0"/>
              <w:spacing w:line="240" w:lineRule="auto"/>
              <w:ind w:right="428.7401574803164"/>
              <w:jc w:val="right"/>
              <w:rPr/>
            </w:pPr>
            <w:r w:rsidDel="00000000" w:rsidR="00000000" w:rsidRPr="00000000">
              <w:rPr>
                <w:rtl w:val="0"/>
              </w:rPr>
              <w:t xml:space="preserve">Додаток 2</w:t>
            </w:r>
          </w:p>
          <w:p w:rsidR="00000000" w:rsidDel="00000000" w:rsidP="00000000" w:rsidRDefault="00000000" w:rsidRPr="00000000" w14:paraId="00000006">
            <w:pPr>
              <w:spacing w:line="240" w:lineRule="auto"/>
              <w:ind w:right="428.7401574803164"/>
              <w:jc w:val="right"/>
              <w:rPr/>
            </w:pPr>
            <w:r w:rsidDel="00000000" w:rsidR="00000000" w:rsidRPr="00000000">
              <w:rPr>
                <w:rtl w:val="0"/>
              </w:rPr>
              <w:t xml:space="preserve">до рішення виконавчого комітету </w:t>
            </w:r>
          </w:p>
          <w:p w:rsidR="00000000" w:rsidDel="00000000" w:rsidP="00000000" w:rsidRDefault="00000000" w:rsidRPr="00000000" w14:paraId="00000007">
            <w:pPr>
              <w:spacing w:line="240" w:lineRule="auto"/>
              <w:ind w:right="428.7401574803164"/>
              <w:jc w:val="right"/>
              <w:rPr/>
            </w:pPr>
            <w:r w:rsidDel="00000000" w:rsidR="00000000" w:rsidRPr="00000000">
              <w:rPr>
                <w:rtl w:val="0"/>
              </w:rPr>
              <w:t xml:space="preserve">_______________ міської ради</w:t>
            </w:r>
          </w:p>
          <w:p w:rsidR="00000000" w:rsidDel="00000000" w:rsidP="00000000" w:rsidRDefault="00000000" w:rsidRPr="00000000" w14:paraId="00000008">
            <w:pPr>
              <w:spacing w:line="240" w:lineRule="auto"/>
              <w:ind w:right="428.7401574803164"/>
              <w:jc w:val="right"/>
              <w:rPr/>
            </w:pPr>
            <w:r w:rsidDel="00000000" w:rsidR="00000000" w:rsidRPr="00000000">
              <w:rPr>
                <w:rtl w:val="0"/>
              </w:rPr>
              <w:t xml:space="preserve">від ___________  №________</w:t>
            </w:r>
          </w:p>
        </w:tc>
      </w:tr>
    </w:tbl>
    <w:p w:rsidR="00000000" w:rsidDel="00000000" w:rsidP="00000000" w:rsidRDefault="00000000" w:rsidRPr="00000000" w14:paraId="00000009">
      <w:pPr>
        <w:widowControl w:val="0"/>
        <w:spacing w:line="240" w:lineRule="auto"/>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widowControl w:val="0"/>
        <w:spacing w:before="92" w:line="240" w:lineRule="auto"/>
        <w:ind w:right="428.7401574803164"/>
        <w:jc w:val="center"/>
        <w:rPr>
          <w:rFonts w:ascii="Cambria" w:cs="Cambria" w:eastAsia="Cambria" w:hAnsi="Cambria"/>
          <w:b w:val="1"/>
        </w:rPr>
      </w:pPr>
      <w:r w:rsidDel="00000000" w:rsidR="00000000" w:rsidRPr="00000000">
        <w:rPr>
          <w:rFonts w:ascii="Cambria" w:cs="Cambria" w:eastAsia="Cambria" w:hAnsi="Cambria"/>
          <w:b w:val="1"/>
          <w:rtl w:val="0"/>
        </w:rPr>
        <w:t xml:space="preserve">ПОЛОЖЕННЯ</w:t>
      </w:r>
    </w:p>
    <w:p w:rsidR="00000000" w:rsidDel="00000000" w:rsidP="00000000" w:rsidRDefault="00000000" w:rsidRPr="00000000" w14:paraId="0000000B">
      <w:pPr>
        <w:widowControl w:val="0"/>
        <w:spacing w:line="240" w:lineRule="auto"/>
        <w:ind w:right="428.7401574803164"/>
        <w:jc w:val="center"/>
        <w:rPr>
          <w:rFonts w:ascii="Cambria" w:cs="Cambria" w:eastAsia="Cambria" w:hAnsi="Cambria"/>
          <w:b w:val="1"/>
        </w:rPr>
      </w:pPr>
      <w:r w:rsidDel="00000000" w:rsidR="00000000" w:rsidRPr="00000000">
        <w:rPr>
          <w:rFonts w:ascii="Cambria" w:cs="Cambria" w:eastAsia="Cambria" w:hAnsi="Cambria"/>
          <w:b w:val="1"/>
          <w:rtl w:val="0"/>
        </w:rPr>
        <w:t xml:space="preserve">про комісію з обстеження будівель і споруд на території ________________ міської територіальної громади, що були  зруйновані або пошкоджені внаслідок надзвичайної ситуації воєнного характеру, спричиненої</w:t>
      </w:r>
      <w:r w:rsidDel="00000000" w:rsidR="00000000" w:rsidRPr="00000000">
        <w:rPr>
          <w:rFonts w:ascii="Cambria" w:cs="Cambria" w:eastAsia="Cambria" w:hAnsi="Cambria"/>
          <w:b w:val="1"/>
          <w:rtl w:val="0"/>
        </w:rPr>
        <w:t xml:space="preserve"> збройною агресією російської федерації проти України</w:t>
      </w:r>
    </w:p>
    <w:p w:rsidR="00000000" w:rsidDel="00000000" w:rsidP="00000000" w:rsidRDefault="00000000" w:rsidRPr="00000000" w14:paraId="0000000C">
      <w:pPr>
        <w:widowControl w:val="0"/>
        <w:spacing w:before="6" w:line="240" w:lineRule="auto"/>
        <w:ind w:right="428.7401574803164"/>
        <w:jc w:val="center"/>
        <w:rPr>
          <w:rFonts w:ascii="Cambria" w:cs="Cambria" w:eastAsia="Cambria" w:hAnsi="Cambria"/>
          <w:color w:val="242020"/>
        </w:rPr>
      </w:pPr>
      <w:r w:rsidDel="00000000" w:rsidR="00000000" w:rsidRPr="00000000">
        <w:rPr>
          <w:rtl w:val="0"/>
        </w:rPr>
      </w:r>
    </w:p>
    <w:p w:rsidR="00000000" w:rsidDel="00000000" w:rsidP="00000000" w:rsidRDefault="00000000" w:rsidRPr="00000000" w14:paraId="0000000D">
      <w:pPr>
        <w:widowControl w:val="0"/>
        <w:spacing w:line="240" w:lineRule="auto"/>
        <w:ind w:right="428.7401574803164"/>
        <w:jc w:val="center"/>
        <w:rPr>
          <w:rFonts w:ascii="Cambria" w:cs="Cambria" w:eastAsia="Cambria" w:hAnsi="Cambria"/>
          <w:b w:val="1"/>
        </w:rPr>
      </w:pPr>
      <w:r w:rsidDel="00000000" w:rsidR="00000000" w:rsidRPr="00000000">
        <w:rPr>
          <w:rFonts w:ascii="Cambria" w:cs="Cambria" w:eastAsia="Cambria" w:hAnsi="Cambria"/>
          <w:b w:val="1"/>
          <w:rtl w:val="0"/>
        </w:rPr>
        <w:t xml:space="preserve">І. Загальні положення</w:t>
      </w:r>
    </w:p>
    <w:p w:rsidR="00000000" w:rsidDel="00000000" w:rsidP="00000000" w:rsidRDefault="00000000" w:rsidRPr="00000000" w14:paraId="0000000E">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Комісія у своїй діяльності керується Конституцією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рішеннями виконавчого комітету міської ради та цим Положенням.</w:t>
      </w:r>
    </w:p>
    <w:p w:rsidR="00000000" w:rsidDel="00000000" w:rsidP="00000000" w:rsidRDefault="00000000" w:rsidRPr="00000000" w14:paraId="0000000F">
      <w:pPr>
        <w:widowControl w:val="0"/>
        <w:spacing w:before="2" w:line="240" w:lineRule="auto"/>
        <w:ind w:right="428.7401574803164"/>
        <w:rPr>
          <w:rFonts w:ascii="Cambria" w:cs="Cambria" w:eastAsia="Cambria" w:hAnsi="Cambria"/>
        </w:rPr>
      </w:pPr>
      <w:r w:rsidDel="00000000" w:rsidR="00000000" w:rsidRPr="00000000">
        <w:rPr>
          <w:rtl w:val="0"/>
        </w:rPr>
      </w:r>
    </w:p>
    <w:p w:rsidR="00000000" w:rsidDel="00000000" w:rsidP="00000000" w:rsidRDefault="00000000" w:rsidRPr="00000000" w14:paraId="00000010">
      <w:pPr>
        <w:widowControl w:val="0"/>
        <w:spacing w:line="240" w:lineRule="auto"/>
        <w:ind w:right="428.7401574803164"/>
        <w:jc w:val="center"/>
        <w:rPr>
          <w:rFonts w:ascii="Cambria" w:cs="Cambria" w:eastAsia="Cambria" w:hAnsi="Cambria"/>
          <w:b w:val="1"/>
        </w:rPr>
      </w:pPr>
      <w:r w:rsidDel="00000000" w:rsidR="00000000" w:rsidRPr="00000000">
        <w:rPr>
          <w:rFonts w:ascii="Cambria" w:cs="Cambria" w:eastAsia="Cambria" w:hAnsi="Cambria"/>
          <w:b w:val="1"/>
          <w:rtl w:val="0"/>
        </w:rPr>
        <w:t xml:space="preserve">ІІ. Склад Комісії</w:t>
      </w:r>
    </w:p>
    <w:p w:rsidR="00000000" w:rsidDel="00000000" w:rsidP="00000000" w:rsidRDefault="00000000" w:rsidRPr="00000000" w14:paraId="00000011">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Положення про Комісію та її персональний склад затверджується рішенням виконавчого комітету ____________ міської ради.</w:t>
      </w:r>
    </w:p>
    <w:p w:rsidR="00000000" w:rsidDel="00000000" w:rsidP="00000000" w:rsidRDefault="00000000" w:rsidRPr="00000000" w14:paraId="00000012">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Комісія складається з голови, заступника голови, секретаря та членів Комісії.</w:t>
      </w:r>
    </w:p>
    <w:p w:rsidR="00000000" w:rsidDel="00000000" w:rsidP="00000000" w:rsidRDefault="00000000" w:rsidRPr="00000000" w14:paraId="00000013">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Голова Комісії безпосередньо здійснює керівництво діяльністю Комісії та забезпечує виконання покладених на неї завдань.</w:t>
      </w:r>
    </w:p>
    <w:p w:rsidR="00000000" w:rsidDel="00000000" w:rsidP="00000000" w:rsidRDefault="00000000" w:rsidRPr="00000000" w14:paraId="00000014">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У разі відсутності голови Комісії його обов’язки виконує заступник голови Комісії.</w:t>
      </w:r>
    </w:p>
    <w:p w:rsidR="00000000" w:rsidDel="00000000" w:rsidP="00000000" w:rsidRDefault="00000000" w:rsidRPr="00000000" w14:paraId="00000015">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Організаційне забезпечення діяльності Комісії здійснює її секретар.</w:t>
      </w:r>
    </w:p>
    <w:p w:rsidR="00000000" w:rsidDel="00000000" w:rsidP="00000000" w:rsidRDefault="00000000" w:rsidRPr="00000000" w14:paraId="00000016">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Секретар Комісії готує необхідні матеріали для роботи Комісії, забезпечує оповіщення членів Комісії про дату, час та місце проведення засідань Комісії, порядок денний, веде та оформлює протокол засідання Комісії, веде списки постраждалих осіб та забезпечує збереження протоколів комісії для подальшого їх використання.</w:t>
      </w:r>
    </w:p>
    <w:p w:rsidR="00000000" w:rsidDel="00000000" w:rsidP="00000000" w:rsidRDefault="00000000" w:rsidRPr="00000000" w14:paraId="00000017">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У разі відсутності секретаря Комісії його обов’язки тимчасово виконує за дорученням голови комісії інший член Комісії.</w:t>
      </w:r>
    </w:p>
    <w:p w:rsidR="00000000" w:rsidDel="00000000" w:rsidP="00000000" w:rsidRDefault="00000000" w:rsidRPr="00000000" w14:paraId="00000018">
      <w:pPr>
        <w:widowControl w:val="0"/>
        <w:spacing w:line="240" w:lineRule="auto"/>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19">
      <w:pPr>
        <w:widowControl w:val="0"/>
        <w:spacing w:line="240" w:lineRule="auto"/>
        <w:ind w:right="428.7401574803164"/>
        <w:jc w:val="center"/>
        <w:rPr>
          <w:rFonts w:ascii="Cambria" w:cs="Cambria" w:eastAsia="Cambria" w:hAnsi="Cambria"/>
          <w:b w:val="1"/>
        </w:rPr>
      </w:pPr>
      <w:r w:rsidDel="00000000" w:rsidR="00000000" w:rsidRPr="00000000">
        <w:rPr>
          <w:rFonts w:ascii="Cambria" w:cs="Cambria" w:eastAsia="Cambria" w:hAnsi="Cambria"/>
          <w:b w:val="1"/>
          <w:rtl w:val="0"/>
        </w:rPr>
        <w:t xml:space="preserve">ІІІ. Організація роботи Комісії</w:t>
      </w:r>
    </w:p>
    <w:p w:rsidR="00000000" w:rsidDel="00000000" w:rsidP="00000000" w:rsidRDefault="00000000" w:rsidRPr="00000000" w14:paraId="0000001A">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Основною організаційною формою роботи Комісії є засідання, які проводяться у разі потреби.</w:t>
      </w:r>
    </w:p>
    <w:p w:rsidR="00000000" w:rsidDel="00000000" w:rsidP="00000000" w:rsidRDefault="00000000" w:rsidRPr="00000000" w14:paraId="0000001B">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Засідання Комісії вважається правосильний, якщо на ньому присутні більш як половина її складу.</w:t>
      </w:r>
    </w:p>
    <w:p w:rsidR="00000000" w:rsidDel="00000000" w:rsidP="00000000" w:rsidRDefault="00000000" w:rsidRPr="00000000" w14:paraId="0000001C">
      <w:pPr>
        <w:widowControl w:val="0"/>
        <w:spacing w:line="240" w:lineRule="auto"/>
        <w:ind w:right="428.7401574803164"/>
        <w:jc w:val="both"/>
        <w:rPr>
          <w:rFonts w:ascii="Cambria" w:cs="Cambria" w:eastAsia="Cambria" w:hAnsi="Cambria"/>
        </w:rPr>
      </w:pPr>
      <w:r w:rsidDel="00000000" w:rsidR="00000000" w:rsidRPr="00000000">
        <w:rPr>
          <w:rFonts w:ascii="Cambria" w:cs="Cambria" w:eastAsia="Cambria" w:hAnsi="Cambria"/>
          <w:rtl w:val="0"/>
        </w:rPr>
        <w:t xml:space="preserve">Рішення Комісії вважається прийнятим, якщо за нього проголосувала</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переважна більшість присутніх членів комісії.</w:t>
      </w:r>
    </w:p>
    <w:p w:rsidR="00000000" w:rsidDel="00000000" w:rsidP="00000000" w:rsidRDefault="00000000" w:rsidRPr="00000000" w14:paraId="0000001D">
      <w:pPr>
        <w:widowControl w:val="0"/>
        <w:spacing w:line="240" w:lineRule="auto"/>
        <w:ind w:left="0" w:right="428.7401574803164" w:firstLine="0"/>
        <w:jc w:val="both"/>
        <w:rPr>
          <w:rFonts w:ascii="Cambria" w:cs="Cambria" w:eastAsia="Cambria" w:hAnsi="Cambria"/>
          <w:highlight w:val="cyan"/>
        </w:rPr>
      </w:pPr>
      <w:r w:rsidDel="00000000" w:rsidR="00000000" w:rsidRPr="00000000">
        <w:rPr>
          <w:rFonts w:ascii="Cambria" w:cs="Cambria" w:eastAsia="Cambria" w:hAnsi="Cambria"/>
          <w:rtl w:val="0"/>
        </w:rPr>
        <w:t xml:space="preserve">Рішення Комісії ухвалюється у формі акту, форма якого затверджена рішенням виконавчого комітету ____________.  </w:t>
      </w:r>
      <w:r w:rsidDel="00000000" w:rsidR="00000000" w:rsidRPr="00000000">
        <w:rPr>
          <w:rFonts w:ascii="Cambria" w:cs="Cambria" w:eastAsia="Cambria" w:hAnsi="Cambria"/>
          <w:highlight w:val="cyan"/>
          <w:rtl w:val="0"/>
        </w:rPr>
        <w:t xml:space="preserve">Рішення Комісії оприлюднюються на офіційному сайті міської ради. </w:t>
      </w:r>
    </w:p>
    <w:p w:rsidR="00000000" w:rsidDel="00000000" w:rsidP="00000000" w:rsidRDefault="00000000" w:rsidRPr="00000000" w14:paraId="0000001E">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Акт обстеження пошкодженого нерухомого майна з переліком пошкоджених об’єктів, що підлягають технічному обстеженню подається на затвердження до виконавчого комітету ____________міської ради.</w:t>
      </w:r>
    </w:p>
    <w:p w:rsidR="00000000" w:rsidDel="00000000" w:rsidP="00000000" w:rsidRDefault="00000000" w:rsidRPr="00000000" w14:paraId="0000001F">
      <w:pPr>
        <w:widowControl w:val="0"/>
        <w:spacing w:line="240" w:lineRule="auto"/>
        <w:ind w:right="428.7401574803164"/>
        <w:jc w:val="center"/>
        <w:rPr>
          <w:rFonts w:ascii="Cambria" w:cs="Cambria" w:eastAsia="Cambria" w:hAnsi="Cambria"/>
          <w:b w:val="1"/>
        </w:rPr>
      </w:pPr>
      <w:r w:rsidDel="00000000" w:rsidR="00000000" w:rsidRPr="00000000">
        <w:rPr>
          <w:rFonts w:ascii="Cambria" w:cs="Cambria" w:eastAsia="Cambria" w:hAnsi="Cambria"/>
          <w:b w:val="1"/>
          <w:rtl w:val="0"/>
        </w:rPr>
        <w:t xml:space="preserve">IV. Завдання та повноваження Комісії</w:t>
      </w:r>
    </w:p>
    <w:p w:rsidR="00000000" w:rsidDel="00000000" w:rsidP="00000000" w:rsidRDefault="00000000" w:rsidRPr="00000000" w14:paraId="00000020">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Основним завданням Комісії є проведення обстеження об’єктів нерухомого майна, зруйнованого внаслідок надзвичайної ситуації воєнного характеру, спричиненої збройною агресією російської федерації.</w:t>
      </w:r>
    </w:p>
    <w:p w:rsidR="00000000" w:rsidDel="00000000" w:rsidP="00000000" w:rsidRDefault="00000000" w:rsidRPr="00000000" w14:paraId="00000021">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До повноважень Комісії належить:</w:t>
      </w:r>
    </w:p>
    <w:p w:rsidR="00000000" w:rsidDel="00000000" w:rsidP="00000000" w:rsidRDefault="00000000" w:rsidRPr="00000000" w14:paraId="00000022">
      <w:pPr>
        <w:widowControl w:val="0"/>
        <w:numPr>
          <w:ilvl w:val="0"/>
          <w:numId w:val="1"/>
        </w:numPr>
        <w:spacing w:line="240" w:lineRule="auto"/>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розгляд заяв та доданих до них документів;</w:t>
      </w:r>
    </w:p>
    <w:p w:rsidR="00000000" w:rsidDel="00000000" w:rsidP="00000000" w:rsidRDefault="00000000" w:rsidRPr="00000000" w14:paraId="00000023">
      <w:pPr>
        <w:widowControl w:val="0"/>
        <w:numPr>
          <w:ilvl w:val="0"/>
          <w:numId w:val="1"/>
        </w:numPr>
        <w:spacing w:line="240" w:lineRule="auto"/>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проведення обстеження пошкодженого або зруйнованого нерухомого майна внаслідок надзвичайної ситуації;</w:t>
      </w:r>
    </w:p>
    <w:p w:rsidR="00000000" w:rsidDel="00000000" w:rsidP="00000000" w:rsidRDefault="00000000" w:rsidRPr="00000000" w14:paraId="00000024">
      <w:pPr>
        <w:widowControl w:val="0"/>
        <w:numPr>
          <w:ilvl w:val="0"/>
          <w:numId w:val="1"/>
        </w:numPr>
        <w:spacing w:line="240" w:lineRule="auto"/>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складання акту обстеження нерухомого майна, зруйнованого (пошкодженого) внаслідок надзвичайної ситуації воєнного характеру, спричиненої збройною агресією російської федерації;</w:t>
      </w:r>
    </w:p>
    <w:p w:rsidR="00000000" w:rsidDel="00000000" w:rsidP="00000000" w:rsidRDefault="00000000" w:rsidRPr="00000000" w14:paraId="00000025">
      <w:pPr>
        <w:widowControl w:val="0"/>
        <w:numPr>
          <w:ilvl w:val="0"/>
          <w:numId w:val="1"/>
        </w:numPr>
        <w:spacing w:line="240" w:lineRule="auto"/>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розгляд інших питань, що стосуються рішень, які можуть бути прийняті відповідно до цього Положення.</w:t>
      </w:r>
    </w:p>
    <w:p w:rsidR="00000000" w:rsidDel="00000000" w:rsidP="00000000" w:rsidRDefault="00000000" w:rsidRPr="00000000" w14:paraId="00000026">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Для проведення обстеження нерухомого майна, зруйнованого внаслідок надзвичайної ситуації воєнного характеру, спричиненої збройною агресією російської федерації, та для визнання особи постраждалою внаслідок надзвичайної ситуації заявники подають до Комісії такі документи на кожен окремий об’єкт нерухомого майна:</w:t>
      </w:r>
    </w:p>
    <w:p w:rsidR="00000000" w:rsidDel="00000000" w:rsidP="00000000" w:rsidRDefault="00000000" w:rsidRPr="00000000" w14:paraId="00000027">
      <w:pPr>
        <w:widowControl w:val="0"/>
        <w:numPr>
          <w:ilvl w:val="0"/>
          <w:numId w:val="2"/>
        </w:numPr>
        <w:spacing w:line="240" w:lineRule="auto"/>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заяву про проведення обстеження нерухомого майна, зруйнованого  чи пошкодженого внаслідок надзвичайної ситуації воєнного характеру, спричиненої збройною агресією російської федерації;</w:t>
      </w:r>
    </w:p>
    <w:p w:rsidR="00000000" w:rsidDel="00000000" w:rsidP="00000000" w:rsidRDefault="00000000" w:rsidRPr="00000000" w14:paraId="00000028">
      <w:pPr>
        <w:widowControl w:val="0"/>
        <w:numPr>
          <w:ilvl w:val="0"/>
          <w:numId w:val="2"/>
        </w:numPr>
        <w:spacing w:line="240" w:lineRule="auto"/>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копію документа, що посвідчує особу та підтверджує громадянство України, або документа, що посвідчує особу та підтверджує її спеціальний статус;</w:t>
      </w:r>
    </w:p>
    <w:p w:rsidR="00000000" w:rsidDel="00000000" w:rsidP="00000000" w:rsidRDefault="00000000" w:rsidRPr="00000000" w14:paraId="00000029">
      <w:pPr>
        <w:widowControl w:val="0"/>
        <w:numPr>
          <w:ilvl w:val="0"/>
          <w:numId w:val="2"/>
        </w:numPr>
        <w:spacing w:line="240" w:lineRule="auto"/>
        <w:ind w:left="720" w:right="428.7401574803164" w:hanging="360"/>
        <w:jc w:val="both"/>
        <w:rPr>
          <w:rFonts w:ascii="Cambria" w:cs="Cambria" w:eastAsia="Cambria" w:hAnsi="Cambria"/>
          <w:u w:val="none"/>
        </w:rPr>
      </w:pPr>
      <w:r w:rsidDel="00000000" w:rsidR="00000000" w:rsidRPr="00000000">
        <w:rPr>
          <w:rFonts w:ascii="Cambria" w:cs="Cambria" w:eastAsia="Cambria" w:hAnsi="Cambria"/>
          <w:rtl w:val="0"/>
        </w:rPr>
        <w:t xml:space="preserve">копію одного з передбачених Податковим кодексом України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p>
    <w:p w:rsidR="00000000" w:rsidDel="00000000" w:rsidP="00000000" w:rsidRDefault="00000000" w:rsidRPr="00000000" w14:paraId="0000002A">
      <w:pPr>
        <w:widowControl w:val="0"/>
        <w:numPr>
          <w:ilvl w:val="0"/>
          <w:numId w:val="2"/>
        </w:numPr>
        <w:spacing w:line="240" w:lineRule="auto"/>
        <w:ind w:left="720" w:right="428.7401574803164" w:hanging="360"/>
        <w:jc w:val="both"/>
        <w:rPr>
          <w:rFonts w:ascii="Cambria" w:cs="Cambria" w:eastAsia="Cambria" w:hAnsi="Cambria"/>
          <w:u w:val="none"/>
        </w:rPr>
      </w:pPr>
      <w:r w:rsidDel="00000000" w:rsidR="00000000" w:rsidRPr="00000000">
        <w:rPr>
          <w:rFonts w:ascii="Cambria" w:cs="Cambria" w:eastAsia="Cambria" w:hAnsi="Cambria"/>
          <w:highlight w:val="white"/>
          <w:rtl w:val="0"/>
        </w:rPr>
        <w:t xml:space="preserve">інформацію (інформаційну довідку або копію витягу) з Державного реєстру речових прав на нерухоме майно або копії документів, що підтверджують наявність права власності у заявника на </w:t>
      </w:r>
      <w:r w:rsidDel="00000000" w:rsidR="00000000" w:rsidRPr="00000000">
        <w:rPr>
          <w:rFonts w:ascii="Cambria" w:cs="Cambria" w:eastAsia="Cambria" w:hAnsi="Cambria"/>
          <w:rtl w:val="0"/>
        </w:rPr>
        <w:t xml:space="preserve">нерухомого майна</w:t>
      </w:r>
      <w:r w:rsidDel="00000000" w:rsidR="00000000" w:rsidRPr="00000000">
        <w:rPr>
          <w:rFonts w:ascii="Cambria" w:cs="Cambria" w:eastAsia="Cambria" w:hAnsi="Cambria"/>
          <w:highlight w:val="white"/>
          <w:rtl w:val="0"/>
        </w:rPr>
        <w:t xml:space="preserve"> на момент подання заяви про проведення обстеження</w:t>
      </w:r>
      <w:r w:rsidDel="00000000" w:rsidR="00000000" w:rsidRPr="00000000">
        <w:rPr>
          <w:rFonts w:ascii="Cambria" w:cs="Cambria" w:eastAsia="Cambria" w:hAnsi="Cambria"/>
          <w:rtl w:val="0"/>
        </w:rPr>
        <w:t xml:space="preserve"> чи інший документ, що підтверджує право заявника на пошкоджене (зруйноване) нерухоме майно;</w:t>
      </w:r>
    </w:p>
    <w:p w:rsidR="00000000" w:rsidDel="00000000" w:rsidP="00000000" w:rsidRDefault="00000000" w:rsidRPr="00000000" w14:paraId="0000002B">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У разі коли зруйноване чи пошкоджене нерухомого майна перебуває у спільній частковій/сумісній власності кількох постраждалих, заява для проведення обстеження може подаватись одним з співвласників або його представником, який діє на підставі довіреності (далі – представник).</w:t>
      </w:r>
    </w:p>
    <w:p w:rsidR="00000000" w:rsidDel="00000000" w:rsidP="00000000" w:rsidRDefault="00000000" w:rsidRPr="00000000" w14:paraId="0000002C">
      <w:pPr>
        <w:widowControl w:val="0"/>
        <w:spacing w:line="240" w:lineRule="auto"/>
        <w:ind w:right="428.7401574803164" w:firstLine="720"/>
        <w:jc w:val="both"/>
        <w:rPr>
          <w:rFonts w:ascii="Cambria" w:cs="Cambria" w:eastAsia="Cambria" w:hAnsi="Cambria"/>
        </w:rPr>
      </w:pPr>
      <w:r w:rsidDel="00000000" w:rsidR="00000000" w:rsidRPr="00000000">
        <w:rPr>
          <w:rtl w:val="0"/>
        </w:rPr>
      </w:r>
    </w:p>
    <w:p w:rsidR="00000000" w:rsidDel="00000000" w:rsidP="00000000" w:rsidRDefault="00000000" w:rsidRPr="00000000" w14:paraId="0000002D">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Комісія складає акт обстеження нерухомого майна зруйнованого (пошкодженого) внаслідок надзвичайної ситуації воєнного характеру, спричиненої збройною агресією російської федерації (далі – акт обстеження), за формою, яка затверджена рішенням виконавчого комітету ____________ міської ради,  у двох примірниках, один з яких надається заявнику  або його представнику. В акті обстеження зазначається загальна   характеристика пошкоджень, з орієнтовним обсягом пошкоджень. Та ухвалюється висновок про технічний стан нерухомого майна на момент його обстеження: зруйноване чи пошкоджене, (в разі пошкодження об’єкта нерухомого майна, потребує поточного ремонту або потребує технічного обстеження).</w:t>
      </w:r>
    </w:p>
    <w:p w:rsidR="00000000" w:rsidDel="00000000" w:rsidP="00000000" w:rsidRDefault="00000000" w:rsidRPr="00000000" w14:paraId="0000002E">
      <w:pPr>
        <w:widowControl w:val="0"/>
        <w:spacing w:line="240" w:lineRule="auto"/>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F">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За результатом обстеження об’єктів соціальної сфери складається акт обстеження з урахуванням вимог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 № 473 (зі змінами).</w:t>
      </w:r>
    </w:p>
    <w:p w:rsidR="00000000" w:rsidDel="00000000" w:rsidP="00000000" w:rsidRDefault="00000000" w:rsidRPr="00000000" w14:paraId="00000030">
      <w:pPr>
        <w:widowControl w:val="0"/>
        <w:spacing w:line="240" w:lineRule="auto"/>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1">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Під час проведення обстеження нерухомого майна та складання акту обстеження можуть враховуватись інші документи, в яких зафіксовано факт руйнування майна. До акту обстеження можуть долучатись письмові пояснення свідків, а також відео та/або фото матеріали. Пояснення свідків адресуються на ім’я голови комісії та обов’язково повинні містити всі необхідні дані про особу (ПІБ, адреса реєстрації та проживання, контактний телефон/електронну пошту, паспортні дані тощо), а також джерела поінформованості особи (очевидець, інформація від третіх осіб тощо). Всі документи та матеріали, які долучаються до акту обстеження, зазначаються в акті обстеження.</w:t>
      </w:r>
    </w:p>
    <w:p w:rsidR="00000000" w:rsidDel="00000000" w:rsidP="00000000" w:rsidRDefault="00000000" w:rsidRPr="00000000" w14:paraId="00000032">
      <w:pPr>
        <w:widowControl w:val="0"/>
        <w:spacing w:line="240" w:lineRule="auto"/>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3">
      <w:pPr>
        <w:widowControl w:val="0"/>
        <w:spacing w:line="240" w:lineRule="auto"/>
        <w:ind w:left="0" w:right="428.7401574803164" w:firstLine="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У разі подання заявником або його представником неповного пакета документів, необхідних для проведення обстеження </w:t>
      </w:r>
      <w:r w:rsidDel="00000000" w:rsidR="00000000" w:rsidRPr="00000000">
        <w:rPr>
          <w:rFonts w:ascii="Cambria" w:cs="Cambria" w:eastAsia="Cambria" w:hAnsi="Cambria"/>
          <w:rtl w:val="0"/>
        </w:rPr>
        <w:t xml:space="preserve">нерухомого майна</w:t>
      </w:r>
      <w:r w:rsidDel="00000000" w:rsidR="00000000" w:rsidRPr="00000000">
        <w:rPr>
          <w:rFonts w:ascii="Cambria" w:cs="Cambria" w:eastAsia="Cambria" w:hAnsi="Cambria"/>
          <w:highlight w:val="white"/>
          <w:rtl w:val="0"/>
        </w:rPr>
        <w:t xml:space="preserve">, визначених у цьому Порядку, або наявності в поданих документах технічних помилок чи інших недоліків комісія надає можливість заявнику або його представнику протягом десяти календарних днів з дня повідомлення про виявлення такого факту надати відсутні документи або усунути відповідні недоліки. У разі не усунення недоліків в установлений строк всі документи повертаються за рішенням комісії заявнику або його представнику.</w:t>
      </w:r>
    </w:p>
    <w:p w:rsidR="00000000" w:rsidDel="00000000" w:rsidP="00000000" w:rsidRDefault="00000000" w:rsidRPr="00000000" w14:paraId="00000034">
      <w:pPr>
        <w:widowControl w:val="0"/>
        <w:spacing w:line="240" w:lineRule="auto"/>
        <w:ind w:left="0" w:right="428.740157480316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5">
      <w:pPr>
        <w:widowControl w:val="0"/>
        <w:spacing w:line="240" w:lineRule="auto"/>
        <w:ind w:left="0" w:right="428.7401574803164" w:firstLine="0"/>
        <w:jc w:val="both"/>
        <w:rPr>
          <w:rFonts w:ascii="Cambria" w:cs="Cambria" w:eastAsia="Cambria" w:hAnsi="Cambria"/>
        </w:rPr>
      </w:pPr>
      <w:r w:rsidDel="00000000" w:rsidR="00000000" w:rsidRPr="00000000">
        <w:rPr>
          <w:rFonts w:ascii="Cambria" w:cs="Cambria" w:eastAsia="Cambria" w:hAnsi="Cambria"/>
          <w:rtl w:val="0"/>
        </w:rPr>
        <w:t xml:space="preserve">Питання компенсації не регулюється цим Положенням і не вирішується Комісією. Складені комісією документи не встановлюють обов’язку, щодо виплати компенсації органами місцевого самоврядування.</w:t>
      </w:r>
    </w:p>
    <w:p w:rsidR="00000000" w:rsidDel="00000000" w:rsidP="00000000" w:rsidRDefault="00000000" w:rsidRPr="00000000" w14:paraId="00000036">
      <w:pPr>
        <w:widowControl w:val="0"/>
        <w:spacing w:line="240" w:lineRule="auto"/>
        <w:ind w:right="428.7401574803164"/>
        <w:jc w:val="both"/>
        <w:rPr>
          <w:rFonts w:ascii="Cambria" w:cs="Cambria" w:eastAsia="Cambria" w:hAnsi="Cambria"/>
        </w:rPr>
      </w:pPr>
      <w:r w:rsidDel="00000000" w:rsidR="00000000" w:rsidRPr="00000000">
        <w:rPr>
          <w:rtl w:val="0"/>
        </w:rPr>
      </w:r>
    </w:p>
    <w:p w:rsidR="00000000" w:rsidDel="00000000" w:rsidP="00000000" w:rsidRDefault="00000000" w:rsidRPr="00000000" w14:paraId="00000037">
      <w:pPr>
        <w:widowControl w:val="0"/>
        <w:spacing w:line="240" w:lineRule="auto"/>
        <w:ind w:right="428.7401574803164"/>
        <w:rPr>
          <w:rFonts w:ascii="Cambria" w:cs="Cambria" w:eastAsia="Cambria" w:hAnsi="Cambria"/>
          <w:b w:val="1"/>
        </w:rPr>
      </w:pPr>
      <w:r w:rsidDel="00000000" w:rsidR="00000000" w:rsidRPr="00000000">
        <w:rPr>
          <w:rFonts w:ascii="Cambria" w:cs="Cambria" w:eastAsia="Cambria" w:hAnsi="Cambria"/>
          <w:rtl w:val="0"/>
        </w:rPr>
        <w:t xml:space="preserve">____________________________                                                                                         __________________________________</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38">
      <w:pPr>
        <w:ind w:right="428.7401574803164"/>
        <w:rPr>
          <w:rFonts w:ascii="Cambria" w:cs="Cambria" w:eastAsia="Cambria" w:hAnsi="Cambria"/>
        </w:rPr>
      </w:pPr>
      <w:r w:rsidDel="00000000" w:rsidR="00000000" w:rsidRPr="00000000">
        <w:rPr>
          <w:rtl w:val="0"/>
        </w:rPr>
      </w:r>
    </w:p>
    <w:sectPr>
      <w:pgSz w:h="16838" w:w="11906" w:orient="portrait"/>
      <w:pgMar w:bottom="1440.0000000000002" w:top="1440.0000000000002" w:left="1440.0000000000002" w:right="124.72440944881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widowControl w:val="1"/>
    </w:pPr>
    <w:rPr>
      <w:rFonts w:ascii="Cambria" w:cs="Cambria" w:eastAsia="Cambria" w:hAnsi="Cambr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